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Обеспечение беспрепятственного доступа в здания образовательной организации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- имеется пандус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- дверные проемы выделены контрастной маркировкой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firstLine="60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- имеется звонок на входной двери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4"/>
          <w:szCs w:val="24"/>
        </w:rPr>
      </w:pPr>
      <w:r w:rsidDel="00000000" w:rsidR="00000000" w:rsidRPr="00000000">
        <w:rPr>
          <w:b w:val="1"/>
          <w:color w:val="555555"/>
          <w:sz w:val="24"/>
          <w:szCs w:val="24"/>
          <w:rtl w:val="0"/>
        </w:rPr>
        <w:t xml:space="preserve">- санузел оборудован поручнями (рядом с унитазом)</w:t>
      </w:r>
      <w:r w:rsidDel="00000000" w:rsidR="00000000" w:rsidRPr="00000000">
        <w:rPr>
          <w:b w:val="1"/>
          <w:color w:val="555555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